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Contrato de alquiler de espacio para eventos</w:t>
      </w:r>
    </w:p>
    <w:p>
      <w:pPr>
        <w:pStyle w:val="Note"/>
      </w:pPr>
      <w:r>
        <w:rPr>
          <w:i/>
          <w:color w:val="6B6880"/>
        </w:rPr>
        <w:t xml:space="preserve">Plantilla comentada · Descarga gratuita de Joinways (joinways.app)</w:t>
      </w:r>
    </w:p>
    <w:p>
      <w:pPr>
        <w:pStyle w:val="Box"/>
      </w:pPr>
      <w:r>
        <w:t xml:space="preserve">Esta plantilla es información general, no asesoramiento jurídico. Anticipos, penalizaciones por cancelación, responsabilidad y contratos con consumidores tienen reglas propias. Haz revisar tu versión una vez por un abogado y reutilízala en cada presupuesto.</w:t>
      </w:r>
    </w:p>
    <w:p>
      <w:pPr>
        <w:pStyle w:val="Normal"/>
      </w:pPr>
      <w:r>
        <w:rPr>
          <w:i/>
          <w:color w:val="6B6880"/>
        </w:rPr>
        <w:t xml:space="preserve">Sustituye los [campos resaltados]. Las notas en cursiva explican cada cláusula: bórralas antes de enviar.</w:t>
      </w:r>
    </w:p>
    <w:p>
      <w:pPr>
        <w:pStyle w:val="Heading1"/>
      </w:pPr>
      <w:r>
        <w:t xml:space="preserve">Partes</w:t>
      </w:r>
    </w:p>
    <w:tbl>
      <w:tblPr>
        <w:tblW w:w="0" w:type="auto"/>
        <w:tblBorders>
          <w:top w:val="single" w:sz="4" w:color="D9D6E6"/>
          <w:left w:val="single" w:sz="4" w:color="D9D6E6"/>
          <w:bottom w:val="single" w:sz="4" w:color="D9D6E6"/>
          <w:right w:val="single" w:sz="4" w:color="D9D6E6"/>
          <w:insideH w:val="single" w:sz="4" w:color="D9D6E6"/>
          <w:insideV w:val="single" w:sz="4" w:color="D9D6E6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200"/>
        <w:gridCol w:w="7880"/>
      </w:tblGrid>
      <w:tr>
        <w:tc>
          <w:tcPr>
            <w:tcW w:w="2200" w:type="dxa"/>
            <w:shd w:val="clear" w:color="auto" w:fill="EEEDFD"/>
          </w:tcPr>
          <w:p>
            <w:pPr>
              <w:pStyle w:val="Normal"/>
              <w:spacing w:after="0"/>
            </w:pPr>
            <w:r>
              <w:rPr>
                <w:b/>
              </w:rPr>
              <w:t xml:space="preserve">El espacio</w:t>
            </w:r>
          </w:p>
        </w:tc>
        <w:tc>
          <w:tcPr>
            <w:tcW w:w="7880" w:type="dxa"/>
          </w:tcPr>
          <w:p>
            <w:pPr>
              <w:pStyle w:val="Normal"/>
              <w:spacing w:after="0"/>
            </w:pPr>
            <w:r>
              <w:rPr>
                <w:highlight w:val="yellow"/>
              </w:rPr>
              <w:t xml:space="preserve">[Razón social]</w:t>
            </w:r>
            <w:r>
              <w:t xml:space="preserve">, </w:t>
            </w:r>
            <w:r>
              <w:rPr>
                <w:highlight w:val="yellow"/>
              </w:rPr>
              <w:t xml:space="preserve">[dirección]</w:t>
            </w:r>
            <w:r>
              <w:t xml:space="preserve">, </w:t>
            </w:r>
            <w:r>
              <w:rPr>
                <w:highlight w:val="yellow"/>
              </w:rPr>
              <w:t xml:space="preserve">[NIF]</w:t>
            </w:r>
            <w:r>
              <w:t xml:space="preserve">, representada por </w:t>
            </w:r>
            <w:r>
              <w:rPr>
                <w:highlight w:val="yellow"/>
              </w:rPr>
              <w:t xml:space="preserve">[nombre, cargo]</w:t>
            </w:r>
            <w:r>
              <w:t xml:space="preserve"> (el «Espacio»)</w:t>
            </w:r>
          </w:p>
        </w:tc>
      </w:tr>
      <w:tr>
        <w:tc>
          <w:tcPr>
            <w:tcW w:w="2200" w:type="dxa"/>
            <w:shd w:val="clear" w:color="auto" w:fill="EEEDFD"/>
          </w:tcPr>
          <w:p>
            <w:pPr>
              <w:pStyle w:val="Normal"/>
              <w:spacing w:after="0"/>
            </w:pPr>
            <w:r>
              <w:rPr>
                <w:b/>
              </w:rPr>
              <w:t xml:space="preserve">El cliente</w:t>
            </w:r>
          </w:p>
        </w:tc>
        <w:tc>
          <w:tcPr>
            <w:tcW w:w="7880" w:type="dxa"/>
          </w:tcPr>
          <w:p>
            <w:pPr>
              <w:pStyle w:val="Normal"/>
              <w:spacing w:after="0"/>
            </w:pPr>
            <w:r>
              <w:rPr>
                <w:highlight w:val="yellow"/>
              </w:rPr>
              <w:t xml:space="preserve">[Razón social o nombre]</w:t>
            </w:r>
            <w:r>
              <w:t xml:space="preserve">, </w:t>
            </w:r>
            <w:r>
              <w:rPr>
                <w:highlight w:val="yellow"/>
              </w:rPr>
              <w:t xml:space="preserve">[dirección]</w:t>
            </w:r>
            <w:r>
              <w:t xml:space="preserve">, representado por </w:t>
            </w:r>
            <w:r>
              <w:rPr>
                <w:highlight w:val="yellow"/>
              </w:rPr>
              <w:t xml:space="preserve">[nombre, cargo]</w:t>
            </w:r>
            <w:r>
              <w:t xml:space="preserve"> (el «Cliente»)</w:t>
            </w:r>
          </w:p>
        </w:tc>
      </w:tr>
      <w:tr>
        <w:tc>
          <w:tcPr>
            <w:tcW w:w="2200" w:type="dxa"/>
            <w:shd w:val="clear" w:color="auto" w:fill="EEEDFD"/>
          </w:tcPr>
          <w:p>
            <w:pPr>
              <w:pStyle w:val="Normal"/>
              <w:spacing w:after="0"/>
            </w:pPr>
            <w:r>
              <w:rPr>
                <w:b/>
              </w:rPr>
              <w:t xml:space="preserve">El evento</w:t>
            </w:r>
          </w:p>
        </w:tc>
        <w:tc>
          <w:tcPr>
            <w:tcW w:w="7880" w:type="dxa"/>
          </w:tcPr>
          <w:p>
            <w:pPr>
              <w:pStyle w:val="Normal"/>
              <w:spacing w:after="0"/>
            </w:pPr>
            <w:r>
              <w:rPr>
                <w:highlight w:val="yellow"/>
              </w:rPr>
              <w:t xml:space="preserve">[Nombre del evento]</w:t>
            </w:r>
            <w:r>
              <w:t xml:space="preserve">, el </w:t>
            </w:r>
            <w:r>
              <w:rPr>
                <w:highlight w:val="yellow"/>
              </w:rPr>
              <w:t xml:space="preserve">[fecha]</w:t>
            </w:r>
          </w:p>
        </w:tc>
      </w:tr>
      <w:tr>
        <w:tc>
          <w:tcPr>
            <w:tcW w:w="2200" w:type="dxa"/>
            <w:shd w:val="clear" w:color="auto" w:fill="EEEDFD"/>
          </w:tcPr>
          <w:p>
            <w:pPr>
              <w:pStyle w:val="Normal"/>
              <w:spacing w:after="0"/>
            </w:pPr>
            <w:r>
              <w:rPr>
                <w:b/>
              </w:rPr>
              <w:t xml:space="preserve">El presupuesto</w:t>
            </w:r>
          </w:p>
        </w:tc>
        <w:tc>
          <w:tcPr>
            <w:tcW w:w="7880" w:type="dxa"/>
          </w:tcPr>
          <w:p>
            <w:pPr>
              <w:pStyle w:val="Normal"/>
              <w:spacing w:after="0"/>
            </w:pPr>
            <w:r>
              <w:t xml:space="preserve">Presupuesto n.º </w:t>
            </w:r>
            <w:r>
              <w:rPr>
                <w:highlight w:val="yellow"/>
              </w:rPr>
              <w:t xml:space="preserve">[número]</w:t>
            </w:r>
            <w:r>
              <w:t xml:space="preserve"> del </w:t>
            </w:r>
            <w:r>
              <w:rPr>
                <w:highlight w:val="yellow"/>
              </w:rPr>
              <w:t xml:space="preserve">[fecha]</w:t>
            </w:r>
            <w:r>
              <w:t xml:space="preserve"> (el «Presupuesto»), que detalla espacios, servicios, cantidades y precios</w:t>
            </w:r>
          </w:p>
        </w:tc>
      </w:tr>
    </w:tbl>
    <w:p>
      <w:pPr>
        <w:spacing w:after="0"/>
      </w:pPr>
    </w:p>
    <w:p>
      <w:pPr>
        <w:pStyle w:val="Heading1"/>
      </w:pPr>
      <w:r>
        <w:t xml:space="preserve">1. Espacios cedidos</w:t>
      </w:r>
    </w:p>
    <w:p>
      <w:pPr>
        <w:pStyle w:val="Normal"/>
      </w:pPr>
      <w:r>
        <w:t xml:space="preserve">El Espacio cede al Cliente el uso de: </w:t>
      </w:r>
      <w:r>
        <w:rPr>
          <w:highlight w:val="yellow"/>
        </w:rPr>
        <w:t xml:space="preserve">[espacio 1, capacidad]</w:t>
      </w:r>
      <w:r>
        <w:t xml:space="preserve"> y </w:t>
      </w:r>
      <w:r>
        <w:rPr>
          <w:highlight w:val="yellow"/>
        </w:rPr>
        <w:t xml:space="preserve">[espacio 2, capacidad]</w:t>
      </w:r>
      <w:r>
        <w:t xml:space="preserve">. Zonas comunes incluidas: </w:t>
      </w:r>
      <w:r>
        <w:rPr>
          <w:highlight w:val="yellow"/>
        </w:rPr>
        <w:t xml:space="preserve">[aseos, guardarropa, terraza]</w:t>
      </w:r>
      <w:r>
        <w:t xml:space="preserve">. Los espacios no citados no están incluidos.</w:t>
      </w:r>
    </w:p>
    <w:p>
      <w:pPr>
        <w:pStyle w:val="Note"/>
      </w:pPr>
      <w:r>
        <w:rPr>
          <w:i/>
          <w:color w:val="6B6880"/>
        </w:rPr>
        <w:t xml:space="preserve">Nombra cada espacio y di qué no está incluido. Quien reserva el salón suele dar por hecho que el jardín va con él.</w:t>
      </w:r>
    </w:p>
    <w:p>
      <w:pPr>
        <w:pStyle w:val="Heading1"/>
      </w:pPr>
      <w:r>
        <w:t xml:space="preserve">2. Fecha, horarios y accesos</w:t>
      </w:r>
    </w:p>
    <w:p>
      <w:pPr>
        <w:pStyle w:val="Normal"/>
      </w:pPr>
      <w:r>
        <w:t xml:space="preserve">Fecha del evento: </w:t>
      </w:r>
      <w:r>
        <w:rPr>
          <w:highlight w:val="yellow"/>
        </w:rPr>
        <w:t xml:space="preserve">[fecha]</w:t>
      </w:r>
      <w:r>
        <w:t xml:space="preserve">. Horario de invitados: de </w:t>
      </w:r>
      <w:r>
        <w:rPr>
          <w:highlight w:val="yellow"/>
        </w:rPr>
        <w:t xml:space="preserve">[hora]</w:t>
      </w:r>
      <w:r>
        <w:t xml:space="preserve"> a </w:t>
      </w:r>
      <w:r>
        <w:rPr>
          <w:highlight w:val="yellow"/>
        </w:rPr>
        <w:t xml:space="preserve">[hora]</w:t>
      </w:r>
      <w:r>
        <w:t xml:space="preserve">. Acceso para montaje desde </w:t>
      </w:r>
      <w:r>
        <w:rPr>
          <w:highlight w:val="yellow"/>
        </w:rPr>
        <w:t xml:space="preserve">[hora]</w:t>
      </w:r>
      <w:r>
        <w:t xml:space="preserve">; desmontaje terminado a </w:t>
      </w:r>
      <w:r>
        <w:rPr>
          <w:highlight w:val="yellow"/>
        </w:rPr>
        <w:t xml:space="preserve">[hora]</w:t>
      </w:r>
      <w:r>
        <w:t xml:space="preserve">. Entregas de proveedores por </w:t>
      </w:r>
      <w:r>
        <w:rPr>
          <w:highlight w:val="yellow"/>
        </w:rPr>
        <w:t xml:space="preserve">[el muelle]</w:t>
      </w:r>
      <w:r>
        <w:t xml:space="preserve"> en los turnos acordados con el Espacio. Cada hora iniciada después de </w:t>
      </w:r>
      <w:r>
        <w:rPr>
          <w:highlight w:val="yellow"/>
        </w:rPr>
        <w:t xml:space="preserve">[hora]</w:t>
      </w:r>
      <w:r>
        <w:t xml:space="preserve"> se factura a </w:t>
      </w:r>
      <w:r>
        <w:rPr>
          <w:highlight w:val="yellow"/>
        </w:rPr>
        <w:t xml:space="preserve">[importe]</w:t>
      </w:r>
      <w:r>
        <w:t xml:space="preserve">, con el acuerdo del Espacio.</w:t>
      </w:r>
    </w:p>
    <w:p>
      <w:pPr>
        <w:pStyle w:val="Note"/>
      </w:pPr>
      <w:r>
        <w:rPr>
          <w:i/>
          <w:color w:val="6B6880"/>
        </w:rPr>
        <w:t xml:space="preserve">El horario de invitados y el horario de acceso son dos cosas distintas. Escribe los dos.</w:t>
      </w:r>
    </w:p>
    <w:p>
      <w:pPr>
        <w:pStyle w:val="Heading1"/>
      </w:pPr>
      <w:r>
        <w:t xml:space="preserve">3. Precio, anticipo y pago</w:t>
      </w:r>
    </w:p>
    <w:p>
      <w:pPr>
        <w:pStyle w:val="Normal"/>
      </w:pPr>
      <w:r>
        <w:t xml:space="preserve">El precio es el del Presupuesto: </w:t>
      </w:r>
      <w:r>
        <w:rPr>
          <w:highlight w:val="yellow"/>
        </w:rPr>
        <w:t xml:space="preserve">[importe]</w:t>
      </w:r>
      <w:r>
        <w:t xml:space="preserve"> IVA incluido. Se paga un anticipo del </w:t>
      </w:r>
      <w:r>
        <w:rPr>
          <w:highlight w:val="yellow"/>
        </w:rPr>
        <w:t xml:space="preserve">[30]</w:t>
      </w:r>
      <w:r>
        <w:t xml:space="preserve"> % (</w:t>
      </w:r>
      <w:r>
        <w:rPr>
          <w:highlight w:val="yellow"/>
        </w:rPr>
        <w:t xml:space="preserve">[importe]</w:t>
      </w:r>
      <w:r>
        <w:t xml:space="preserve">) a la firma. La fecha solo queda bloqueada al recibir el anticipo. El resto se paga </w:t>
      </w:r>
      <w:r>
        <w:rPr>
          <w:highlight w:val="yellow"/>
        </w:rPr>
        <w:t xml:space="preserve">[7]</w:t>
      </w:r>
      <w:r>
        <w:t xml:space="preserve"> días antes del evento, ajustado a los asistentes definitivos. Formas de pago: </w:t>
      </w:r>
      <w:r>
        <w:rPr>
          <w:highlight w:val="yellow"/>
        </w:rPr>
        <w:t xml:space="preserve">[transferencia, tarjeta]</w:t>
      </w:r>
      <w:r>
        <w:t xml:space="preserve">.</w:t>
      </w:r>
    </w:p>
    <w:p>
      <w:pPr>
        <w:pStyle w:val="Note"/>
      </w:pPr>
      <w:r>
        <w:rPr>
          <w:i/>
          <w:color w:val="6B6880"/>
        </w:rPr>
        <w:t xml:space="preserve">La frase sobre el bloqueo de la fecha es la que pone fin a una reserva provisional sin fin.</w:t>
      </w:r>
    </w:p>
    <w:p>
      <w:pPr>
        <w:pStyle w:val="Heading1"/>
      </w:pPr>
      <w:r>
        <w:t xml:space="preserve">4. Cancelación y cambio de fecha</w:t>
      </w:r>
    </w:p>
    <w:p>
      <w:pPr>
        <w:pStyle w:val="Normal"/>
      </w:pPr>
      <w:r>
        <w:t xml:space="preserve">Si el Cliente cancela por escrito: más de </w:t>
      </w:r>
      <w:r>
        <w:rPr>
          <w:highlight w:val="yellow"/>
        </w:rPr>
        <w:t xml:space="preserve">[90]</w:t>
      </w:r>
      <w:r>
        <w:t xml:space="preserve"> días antes del evento, el Espacio retiene el anticipo; de </w:t>
      </w:r>
      <w:r>
        <w:rPr>
          <w:highlight w:val="yellow"/>
        </w:rPr>
        <w:t xml:space="preserve">[90]</w:t>
      </w:r>
      <w:r>
        <w:t xml:space="preserve"> a </w:t>
      </w:r>
      <w:r>
        <w:rPr>
          <w:highlight w:val="yellow"/>
        </w:rPr>
        <w:t xml:space="preserve">[31]</w:t>
      </w:r>
      <w:r>
        <w:t xml:space="preserve"> días antes, se debe el </w:t>
      </w:r>
      <w:r>
        <w:rPr>
          <w:highlight w:val="yellow"/>
        </w:rPr>
        <w:t xml:space="preserve">[50]</w:t>
      </w:r>
      <w:r>
        <w:t xml:space="preserve"> % del total; </w:t>
      </w:r>
      <w:r>
        <w:rPr>
          <w:highlight w:val="yellow"/>
        </w:rPr>
        <w:t xml:space="preserve">[30]</w:t>
      </w:r>
      <w:r>
        <w:t xml:space="preserve"> días o menos, se debe el </w:t>
      </w:r>
      <w:r>
        <w:rPr>
          <w:highlight w:val="yellow"/>
        </w:rPr>
        <w:t xml:space="preserve">[100]</w:t>
      </w:r>
      <w:r>
        <w:t xml:space="preserve"> % del total.</w:t>
      </w:r>
    </w:p>
    <w:p>
      <w:pPr>
        <w:pStyle w:val="Normal"/>
      </w:pPr>
      <w:r>
        <w:t xml:space="preserve">El Cliente puede cambiar la fecha una vez, al menos </w:t>
      </w:r>
      <w:r>
        <w:rPr>
          <w:highlight w:val="yellow"/>
        </w:rPr>
        <w:t xml:space="preserve">[30]</w:t>
      </w:r>
      <w:r>
        <w:t xml:space="preserve"> días antes, a una fecha dentro de </w:t>
      </w:r>
      <w:r>
        <w:rPr>
          <w:highlight w:val="yellow"/>
        </w:rPr>
        <w:t xml:space="preserve">[12]</w:t>
      </w:r>
      <w:r>
        <w:t xml:space="preserve"> meses. El anticipo se traslada, según disponibilidad. Si el Espacio cancela sin fuerza mayor, devuelve todas las cantidades pagadas.</w:t>
      </w:r>
    </w:p>
    <w:p>
      <w:pPr>
        <w:pStyle w:val="Note"/>
      </w:pPr>
      <w:r>
        <w:rPr>
          <w:i/>
          <w:color w:val="6B6880"/>
        </w:rPr>
        <w:t xml:space="preserve">Escribe fechas y porcentajes. «Pueden aplicarse gastos» no decide nada.</w:t>
      </w:r>
    </w:p>
    <w:p>
      <w:pPr>
        <w:pStyle w:val="Heading1"/>
      </w:pPr>
      <w:r>
        <w:t xml:space="preserve">5. Asistentes garantizados y consumo mínimo</w:t>
      </w:r>
    </w:p>
    <w:p>
      <w:pPr>
        <w:pStyle w:val="Normal"/>
      </w:pPr>
      <w:r>
        <w:t xml:space="preserve">El número definitivo de asistentes se comunica </w:t>
      </w:r>
      <w:r>
        <w:rPr>
          <w:highlight w:val="yellow"/>
        </w:rPr>
        <w:t xml:space="preserve">[10]</w:t>
      </w:r>
      <w:r>
        <w:t xml:space="preserve"> días antes del evento. Los conceptos por invitado se facturan sobre los asistentes garantizados o los reales, si son más. Los invitados adicionales se facturan a los precios del Presupuesto. Consumo mínimo de comida y bebida: </w:t>
      </w:r>
      <w:r>
        <w:rPr>
          <w:highlight w:val="yellow"/>
        </w:rPr>
        <w:t xml:space="preserve">[importe]</w:t>
      </w:r>
      <w:r>
        <w:t xml:space="preserve"> + IVA.</w:t>
      </w:r>
    </w:p>
    <w:p>
      <w:pPr>
        <w:pStyle w:val="Note"/>
      </w:pPr>
      <w:r>
        <w:rPr>
          <w:i/>
          <w:color w:val="6B6880"/>
        </w:rPr>
        <w:t xml:space="preserve">Cocina compra sobre los asistentes garantizados: la fecha de confirmación protege esa compra.</w:t>
      </w:r>
    </w:p>
    <w:p>
      <w:pPr>
        <w:pStyle w:val="Heading1"/>
      </w:pPr>
      <w:r>
        <w:t xml:space="preserve">6. Responsabilidad, seguro y daños</w:t>
      </w:r>
    </w:p>
    <w:p>
      <w:pPr>
        <w:pStyle w:val="Normal"/>
      </w:pPr>
      <w:r>
        <w:t xml:space="preserve">El Cliente responde de los daños causados al espacio, al mobiliario y al material por sus invitados o proveedores. Aporta un certificado de seguro de responsabilidad civil </w:t>
      </w:r>
      <w:r>
        <w:rPr>
          <w:highlight w:val="yellow"/>
        </w:rPr>
        <w:t xml:space="preserve">[15]</w:t>
      </w:r>
      <w:r>
        <w:t xml:space="preserve"> días antes del evento. El Espacio y el contacto del Cliente revisan juntos los espacios al final del evento; cualquier daño se anota y se firma.</w:t>
      </w:r>
    </w:p>
    <w:p>
      <w:pPr>
        <w:pStyle w:val="Note"/>
      </w:pPr>
      <w:r>
        <w:rPr>
          <w:i/>
          <w:color w:val="6B6880"/>
        </w:rPr>
        <w:t xml:space="preserve">La revisión conjunta es el único momento en que un daño se resuelve sin conflicto.</w:t>
      </w:r>
    </w:p>
    <w:p>
      <w:pPr>
        <w:pStyle w:val="Heading1"/>
      </w:pPr>
      <w:r>
        <w:t xml:space="preserve">7. Normas del espacio</w:t>
      </w:r>
    </w:p>
    <w:p>
      <w:pPr>
        <w:pStyle w:val="Normal"/>
      </w:pPr>
      <w:r>
        <w:t xml:space="preserve">La música termina a las </w:t>
      </w:r>
      <w:r>
        <w:rPr>
          <w:highlight w:val="yellow"/>
        </w:rPr>
        <w:t xml:space="preserve">[hora]</w:t>
      </w:r>
      <w:r>
        <w:t xml:space="preserve">; limitador de sonido desde las </w:t>
      </w:r>
      <w:r>
        <w:rPr>
          <w:highlight w:val="yellow"/>
        </w:rPr>
        <w:t xml:space="preserve">[hora]</w:t>
      </w:r>
      <w:r>
        <w:t xml:space="preserve">. Sin confeti, purpurina ni llama abierta (velas en recipiente permitidas), y nada fijado a paredes o techos. Los proveedores externos deben estar aprobados por el Espacio y asegurados. Prohibido fumar fuera de </w:t>
      </w:r>
      <w:r>
        <w:rPr>
          <w:highlight w:val="yellow"/>
        </w:rPr>
        <w:t xml:space="preserve">[zonas habilitadas]</w:t>
      </w:r>
      <w:r>
        <w:t xml:space="preserve">.</w:t>
      </w:r>
    </w:p>
    <w:p>
      <w:pPr>
        <w:pStyle w:val="Note"/>
      </w:pPr>
      <w:r>
        <w:rPr>
          <w:i/>
          <w:color w:val="6B6880"/>
        </w:rPr>
        <w:t xml:space="preserve">Escribe la hora de fin de la música y la regla de proveedores completa.</w:t>
      </w:r>
    </w:p>
    <w:p>
      <w:pPr>
        <w:pStyle w:val="Heading1"/>
      </w:pPr>
      <w:r>
        <w:t xml:space="preserve">8. Fuerza mayor, ley aplicable y firma</w:t>
      </w:r>
    </w:p>
    <w:p>
      <w:pPr>
        <w:pStyle w:val="Normal"/>
      </w:pPr>
      <w:r>
        <w:t xml:space="preserve">Ninguna parte responde de un incumplimiento debido a fuerza mayor. Las partes buscan primero una nueva fecha dentro de </w:t>
      </w:r>
      <w:r>
        <w:rPr>
          <w:highlight w:val="yellow"/>
        </w:rPr>
        <w:t xml:space="preserve">[12]</w:t>
      </w:r>
      <w:r>
        <w:t xml:space="preserve"> meses; si no, se devuelven las cantidades pagadas por servicios no prestados. Este contrato se rige por la ley española; tribunales de </w:t>
      </w:r>
      <w:r>
        <w:rPr>
          <w:highlight w:val="yellow"/>
        </w:rPr>
        <w:t xml:space="preserve">[ciudad]</w:t>
      </w:r>
      <w:r>
        <w:t xml:space="preserve">.</w:t>
      </w:r>
    </w:p>
    <w:p>
      <w:pPr>
        <w:pStyle w:val="Normal"/>
      </w:pPr>
      <w:r>
        <w:t xml:space="preserve">Al firmar el Presupuesto, el Cliente acepta estas condiciones. El Presupuesto y estas condiciones forman el acuerdo completo.</w:t>
      </w:r>
    </w:p>
    <w:p>
      <w:pPr>
        <w:pStyle w:val="Note"/>
      </w:pPr>
      <w:r>
        <w:rPr>
          <w:i/>
          <w:color w:val="6B6880"/>
        </w:rPr>
        <w:t xml:space="preserve">Esta última frase hace que baste una firma: el Presupuesto y las condiciones van juntos.</w:t>
      </w:r>
    </w:p>
    <w:p>
      <w:pPr>
        <w:pStyle w:val="Heading1"/>
      </w:pPr>
      <w:r>
        <w:t xml:space="preserve">Firmas</w:t>
      </w:r>
    </w:p>
    <w:tbl>
      <w:tblPr>
        <w:tblW w:w="0" w:type="auto"/>
        <w:tblBorders>
          <w:top w:val="single" w:sz="4" w:color="D9D6E6"/>
          <w:left w:val="single" w:sz="4" w:color="D9D6E6"/>
          <w:bottom w:val="single" w:sz="4" w:color="D9D6E6"/>
          <w:right w:val="single" w:sz="4" w:color="D9D6E6"/>
          <w:insideH w:val="single" w:sz="4" w:color="D9D6E6"/>
          <w:insideV w:val="single" w:sz="4" w:color="D9D6E6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200"/>
        <w:gridCol w:w="3940"/>
        <w:gridCol w:w="3940"/>
      </w:tblGrid>
      <w:tr>
        <w:tc>
          <w:tcPr>
            <w:tcW w:w="2200" w:type="dxa"/>
            <w:shd w:val="clear" w:color="auto" w:fill="EEEDFD"/>
          </w:tcPr>
          <w:p>
            <w:pPr>
              <w:pStyle w:val="Normal"/>
              <w:spacing w:after="0"/>
            </w:pPr>
            <w:r>
              <w:t xml:space="preserve"/>
            </w:r>
          </w:p>
        </w:tc>
        <w:tc>
          <w:tcPr>
            <w:tcW w:w="3940" w:type="dxa"/>
          </w:tcPr>
          <w:p>
            <w:pPr>
              <w:pStyle w:val="Normal"/>
              <w:spacing w:after="0"/>
            </w:pPr>
            <w:r>
              <w:rPr>
                <w:b/>
              </w:rPr>
              <w:t xml:space="preserve">El Espacio</w:t>
            </w:r>
          </w:p>
        </w:tc>
        <w:tc>
          <w:tcPr>
            <w:tcW w:w="3940" w:type="dxa"/>
          </w:tcPr>
          <w:p>
            <w:pPr>
              <w:pStyle w:val="Normal"/>
              <w:spacing w:after="0"/>
            </w:pPr>
            <w:r>
              <w:rPr>
                <w:b/>
              </w:rPr>
              <w:t xml:space="preserve">El Cliente</w:t>
            </w:r>
          </w:p>
        </w:tc>
      </w:tr>
      <w:tr>
        <w:tc>
          <w:tcPr>
            <w:tcW w:w="2200" w:type="dxa"/>
            <w:shd w:val="clear" w:color="auto" w:fill="EEEDFD"/>
          </w:tcPr>
          <w:p>
            <w:pPr>
              <w:pStyle w:val="Normal"/>
              <w:spacing w:after="0"/>
            </w:pPr>
            <w:r>
              <w:rPr>
                <w:b/>
              </w:rPr>
              <w:t xml:space="preserve">Nombre y cargo</w:t>
            </w:r>
          </w:p>
        </w:tc>
        <w:tc>
          <w:tcPr>
            <w:tcW w:w="3940" w:type="dxa"/>
          </w:tcPr>
          <w:p>
            <w:pPr>
              <w:pStyle w:val="Normal"/>
              <w:spacing w:after="0"/>
            </w:pPr>
            <w:r>
              <w:t xml:space="preserve"/>
            </w:r>
          </w:p>
        </w:tc>
        <w:tc>
          <w:tcPr>
            <w:tcW w:w="3940" w:type="dxa"/>
          </w:tcPr>
          <w:p>
            <w:pPr>
              <w:pStyle w:val="Normal"/>
              <w:spacing w:after="0"/>
            </w:pPr>
            <w:r>
              <w:t xml:space="preserve"/>
            </w:r>
          </w:p>
        </w:tc>
      </w:tr>
      <w:tr>
        <w:tc>
          <w:tcPr>
            <w:tcW w:w="2200" w:type="dxa"/>
            <w:shd w:val="clear" w:color="auto" w:fill="EEEDFD"/>
          </w:tcPr>
          <w:p>
            <w:pPr>
              <w:pStyle w:val="Normal"/>
              <w:spacing w:after="0"/>
            </w:pPr>
            <w:r>
              <w:rPr>
                <w:b/>
              </w:rPr>
              <w:t xml:space="preserve">Fecha</w:t>
            </w:r>
          </w:p>
        </w:tc>
        <w:tc>
          <w:tcPr>
            <w:tcW w:w="3940" w:type="dxa"/>
          </w:tcPr>
          <w:p>
            <w:pPr>
              <w:pStyle w:val="Normal"/>
              <w:spacing w:after="0"/>
            </w:pPr>
            <w:r>
              <w:t xml:space="preserve"/>
            </w:r>
          </w:p>
        </w:tc>
        <w:tc>
          <w:tcPr>
            <w:tcW w:w="3940" w:type="dxa"/>
          </w:tcPr>
          <w:p>
            <w:pPr>
              <w:pStyle w:val="Normal"/>
              <w:spacing w:after="0"/>
            </w:pPr>
            <w:r>
              <w:t xml:space="preserve"/>
            </w:r>
          </w:p>
        </w:tc>
      </w:tr>
      <w:tr>
        <w:tc>
          <w:tcPr>
            <w:tcW w:w="2200" w:type="dxa"/>
            <w:shd w:val="clear" w:color="auto" w:fill="EEEDFD"/>
          </w:tcPr>
          <w:p>
            <w:pPr>
              <w:pStyle w:val="Normal"/>
              <w:spacing w:after="0"/>
            </w:pPr>
            <w:r>
              <w:rPr>
                <w:b/>
              </w:rPr>
              <w:t xml:space="preserve">Firma</w:t>
            </w:r>
          </w:p>
        </w:tc>
        <w:tc>
          <w:tcPr>
            <w:tcW w:w="3940" w:type="dxa"/>
          </w:tcPr>
          <w:p>
            <w:pPr>
              <w:pStyle w:val="Normal"/>
              <w:spacing w:after="0"/>
            </w:pPr>
            <w:r>
              <w:t xml:space="preserve"/>
            </w:r>
          </w:p>
        </w:tc>
        <w:tc>
          <w:tcPr>
            <w:tcW w:w="3940" w:type="dxa"/>
          </w:tcPr>
          <w:p>
            <w:pPr>
              <w:pStyle w:val="Normal"/>
              <w:spacing w:after="0"/>
            </w:pPr>
            <w:r>
              <w:t xml:space="preserve"/>
            </w:r>
          </w:p>
        </w:tc>
      </w:tr>
    </w:tbl>
    <w:p>
      <w:pPr>
        <w:spacing w:after="0"/>
      </w:pPr>
    </w:p>
    <w:sectPr>
      <w:pgSz w:w="11906" w:h="16838"/>
      <w:pgMar w:top="1080" w:right="1080" w:bottom="1080" w:left="108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color w:val="1F1D2B"/>
        <w:lang w:val="es-E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4"/>
      <w:color w:val="4A3FD1"/>
    </w:rPr>
  </w:style>
  <w:style w:type="paragraph" w:styleId="Heading2">
    <w:name w:val="heading 2"/>
    <w:basedOn w:val="Normal"/>
    <w:next w:val="Normal"/>
    <w:pPr>
      <w:keepNext/>
      <w:spacing w:before="160" w:after="60"/>
      <w:outlineLvl w:val="1"/>
    </w:pPr>
    <w:rPr>
      <w:b/>
      <w:sz w:val="21"/>
    </w:rPr>
  </w:style>
  <w:style w:type="paragraph" w:styleId="Note">
    <w:name w:val="Note"/>
    <w:basedOn w:val="Normal"/>
    <w:pPr>
      <w:ind w:left="240"/>
    </w:pPr>
    <w:rPr>
      <w:i/>
      <w:sz w:val="18"/>
      <w:color w:val="6B6880"/>
    </w:rPr>
  </w:style>
  <w:style w:type="paragraph" w:styleId="Box">
    <w:name w:val="Box"/>
    <w:basedOn w:val="Normal"/>
    <w:pPr>
      <w:pBdr>
        <w:top w:val="single" w:sz="6" w:space="6" w:color="E3B341"/>
        <w:left w:val="single" w:sz="6" w:space="6" w:color="E3B341"/>
        <w:bottom w:val="single" w:sz="6" w:space="6" w:color="E3B341"/>
        <w:right w:val="single" w:sz="6" w:space="6" w:color="E3B341"/>
      </w:pBdr>
      <w:shd w:val="clear" w:color="auto" w:fill="FFFBEA"/>
      <w:spacing w:before="120" w:after="200"/>
    </w:pPr>
    <w:rPr>
      <w:sz w:val="19"/>
    </w:rPr>
  </w:style>
  <w:style w:type="paragraph" w:styleId="ListBullet">
    <w:name w:val="List Bullet"/>
    <w:basedOn w:val="Normal"/>
    <w:pPr>
      <w:ind w:left="360" w:hanging="200"/>
      <w:spacing w:after="6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Contrato de alquiler de espacio para eventos</dc:title>
  <dc:creator>Joinways</dc:creator>
  <dc:language>es-ES</dc:language>
  <dcterms:created xsi:type="dcterms:W3CDTF">2026-09-24T00:00:00Z</dcterms:created>
</cp:coreProperties>
</file>